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2150D" w14:textId="77777777" w:rsidR="00293105" w:rsidRDefault="00293105"/>
    <w:p w14:paraId="5912150E" w14:textId="0357CF93" w:rsidR="00466185" w:rsidRPr="00DB79C1" w:rsidRDefault="00466185">
      <w:pPr>
        <w:rPr>
          <w:sz w:val="24"/>
          <w:szCs w:val="24"/>
        </w:rPr>
      </w:pPr>
      <w:r w:rsidRPr="00DB79C1">
        <w:rPr>
          <w:b/>
          <w:sz w:val="24"/>
          <w:szCs w:val="24"/>
        </w:rPr>
        <w:t>Material A</w:t>
      </w:r>
      <w:r w:rsidR="00783F38" w:rsidRPr="00DB79C1">
        <w:rPr>
          <w:b/>
          <w:sz w:val="24"/>
          <w:szCs w:val="24"/>
        </w:rPr>
        <w:t>ccounting Changes Workpaper (TO20</w:t>
      </w:r>
      <w:r w:rsidR="007E0AF4">
        <w:rPr>
          <w:b/>
          <w:sz w:val="24"/>
          <w:szCs w:val="24"/>
        </w:rPr>
        <w:t>2</w:t>
      </w:r>
      <w:r w:rsidR="002E4046">
        <w:rPr>
          <w:b/>
          <w:sz w:val="24"/>
          <w:szCs w:val="24"/>
        </w:rPr>
        <w:t>2</w:t>
      </w:r>
      <w:r w:rsidRPr="00DB79C1">
        <w:rPr>
          <w:b/>
          <w:sz w:val="24"/>
          <w:szCs w:val="24"/>
        </w:rPr>
        <w:t>)</w:t>
      </w:r>
    </w:p>
    <w:p w14:paraId="5912150F" w14:textId="68DB76D4" w:rsidR="00466185" w:rsidRPr="00DB79C1" w:rsidRDefault="00466185">
      <w:pPr>
        <w:rPr>
          <w:sz w:val="24"/>
          <w:szCs w:val="24"/>
        </w:rPr>
      </w:pPr>
      <w:r w:rsidRPr="00DB79C1">
        <w:rPr>
          <w:sz w:val="24"/>
          <w:szCs w:val="24"/>
        </w:rPr>
        <w:t>Pursuant to protocol section 3(a)(10), SCE is required to include in the Draft Annual Update a description of any “Material Accounting Changes” included in the Draft Annual Update.</w:t>
      </w:r>
    </w:p>
    <w:p w14:paraId="59121510" w14:textId="77777777" w:rsidR="00466185" w:rsidRPr="00DB79C1" w:rsidRDefault="00466185" w:rsidP="00466185">
      <w:pPr>
        <w:ind w:left="720" w:hanging="720"/>
        <w:rPr>
          <w:sz w:val="24"/>
          <w:szCs w:val="24"/>
        </w:rPr>
      </w:pPr>
      <w:r w:rsidRPr="00DB79C1">
        <w:rPr>
          <w:sz w:val="24"/>
          <w:szCs w:val="24"/>
        </w:rPr>
        <w:t>Material Accounting Changes are defined in the protocols as:</w:t>
      </w:r>
      <w:r w:rsidRPr="00DB79C1">
        <w:rPr>
          <w:sz w:val="24"/>
          <w:szCs w:val="24"/>
        </w:rPr>
        <w:tab/>
      </w:r>
      <w:r w:rsidRPr="00DB79C1">
        <w:rPr>
          <w:sz w:val="24"/>
          <w:szCs w:val="24"/>
        </w:rPr>
        <w:tab/>
      </w:r>
      <w:r w:rsidRPr="00DB79C1">
        <w:rPr>
          <w:sz w:val="24"/>
          <w:szCs w:val="24"/>
        </w:rPr>
        <w:tab/>
      </w:r>
    </w:p>
    <w:p w14:paraId="59121511" w14:textId="2D8FA148" w:rsidR="00466185" w:rsidRPr="00DB79C1" w:rsidRDefault="00466185" w:rsidP="00622968">
      <w:pPr>
        <w:ind w:left="720"/>
        <w:rPr>
          <w:rFonts w:ascii="Calibri" w:eastAsia="Times New Roman" w:hAnsi="Calibri" w:cs="Times New Roman"/>
          <w:color w:val="000000"/>
          <w:sz w:val="24"/>
          <w:szCs w:val="24"/>
        </w:rPr>
      </w:pPr>
      <w:r w:rsidRPr="00DB79C1">
        <w:rPr>
          <w:rFonts w:ascii="Calibri" w:eastAsia="Times New Roman" w:hAnsi="Calibri" w:cs="Times New Roman"/>
          <w:color w:val="000000"/>
          <w:sz w:val="24"/>
          <w:szCs w:val="24"/>
        </w:rPr>
        <w:t>“</w:t>
      </w:r>
      <w:r w:rsidR="00622968" w:rsidRPr="00622968">
        <w:rPr>
          <w:rFonts w:ascii="Calibri" w:eastAsia="Times New Roman" w:hAnsi="Calibri" w:cs="Times New Roman"/>
          <w:color w:val="000000"/>
          <w:sz w:val="24"/>
          <w:szCs w:val="24"/>
        </w:rPr>
        <w:t>Material Accounting Changes” shall mean any material change that affects SCE’s transmission</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rates as follows: (i) accounting policies and practices from those in effect for the Prior Year upon which</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the immediately preceding Annual Update was based, including those resulting from any new or</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revised accounting guidance from the Financial Accounting Standards Board; or (ii) internal corporate</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cost allocation policies or practices in effect for the Prior Year upon which the immediately preceding</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Annual Update was based; or (iii) income tax elections from those in effect for the Prior Year upon</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which the immediately preceding Annual Update was based; or (iv) cost allocation policies between</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EIX, SCE, and subsidiaries of either, from those in effect for the Prior Year upon which the</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immediately preceding Annual Update was based. Additionally, a Material Accounting Change shall</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also include any: (i) initial implementation of an accounting standard; or (ii) initial implementation of</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accounting practices for unusual or unconventional items where the Commission has not provided</w:t>
      </w:r>
      <w:r w:rsidR="00622968">
        <w:rPr>
          <w:rFonts w:ascii="Calibri" w:eastAsia="Times New Roman" w:hAnsi="Calibri" w:cs="Times New Roman"/>
          <w:color w:val="000000"/>
          <w:sz w:val="24"/>
          <w:szCs w:val="24"/>
        </w:rPr>
        <w:t xml:space="preserve"> </w:t>
      </w:r>
      <w:r w:rsidR="00622968" w:rsidRPr="00622968">
        <w:rPr>
          <w:rFonts w:ascii="Calibri" w:eastAsia="Times New Roman" w:hAnsi="Calibri" w:cs="Times New Roman"/>
          <w:color w:val="000000"/>
          <w:sz w:val="24"/>
          <w:szCs w:val="24"/>
        </w:rPr>
        <w:t>specific accounting direction.</w:t>
      </w:r>
      <w:r w:rsidR="00436BFD" w:rsidDel="00436BFD">
        <w:rPr>
          <w:rFonts w:ascii="Calibri" w:eastAsia="Times New Roman" w:hAnsi="Calibri" w:cs="Times New Roman"/>
          <w:color w:val="000000"/>
          <w:sz w:val="24"/>
          <w:szCs w:val="24"/>
        </w:rPr>
        <w:t xml:space="preserve"> </w:t>
      </w:r>
    </w:p>
    <w:p w14:paraId="59121512" w14:textId="2C2C5279" w:rsidR="00465536" w:rsidRDefault="00127C12" w:rsidP="00733DC0">
      <w:pPr>
        <w:rPr>
          <w:rFonts w:ascii="Calibri" w:eastAsia="Times New Roman" w:hAnsi="Calibri" w:cs="Times New Roman"/>
          <w:color w:val="000000"/>
          <w:sz w:val="24"/>
          <w:szCs w:val="24"/>
        </w:rPr>
      </w:pPr>
      <w:r>
        <w:rPr>
          <w:rFonts w:ascii="Calibri" w:eastAsia="Times New Roman" w:hAnsi="Calibri" w:cs="Times New Roman"/>
          <w:color w:val="000000"/>
          <w:sz w:val="24"/>
          <w:szCs w:val="24"/>
        </w:rPr>
        <w:t xml:space="preserve">SCE has identified </w:t>
      </w:r>
      <w:r w:rsidR="002D0D77" w:rsidRPr="00DC65CC">
        <w:rPr>
          <w:rFonts w:ascii="Calibri" w:eastAsia="Times New Roman" w:hAnsi="Calibri" w:cs="Times New Roman"/>
          <w:color w:val="000000"/>
          <w:sz w:val="24"/>
          <w:szCs w:val="24"/>
        </w:rPr>
        <w:t>5</w:t>
      </w:r>
      <w:r w:rsidR="00CD4248" w:rsidRPr="00DB79C1">
        <w:rPr>
          <w:rFonts w:ascii="Calibri" w:eastAsia="Times New Roman" w:hAnsi="Calibri" w:cs="Times New Roman"/>
          <w:color w:val="000000"/>
          <w:sz w:val="24"/>
          <w:szCs w:val="24"/>
        </w:rPr>
        <w:t xml:space="preserve"> </w:t>
      </w:r>
      <w:r w:rsidR="00466185" w:rsidRPr="00DB79C1">
        <w:rPr>
          <w:rFonts w:ascii="Calibri" w:eastAsia="Times New Roman" w:hAnsi="Calibri" w:cs="Times New Roman"/>
          <w:color w:val="000000"/>
          <w:sz w:val="24"/>
          <w:szCs w:val="24"/>
        </w:rPr>
        <w:t xml:space="preserve">Material Accounting Changes implemented </w:t>
      </w:r>
      <w:r>
        <w:rPr>
          <w:rFonts w:ascii="Calibri" w:eastAsia="Times New Roman" w:hAnsi="Calibri" w:cs="Times New Roman"/>
          <w:color w:val="000000"/>
          <w:sz w:val="24"/>
          <w:szCs w:val="24"/>
        </w:rPr>
        <w:t>post calendar year</w:t>
      </w:r>
      <w:r w:rsidR="00466185" w:rsidRPr="00DB79C1">
        <w:rPr>
          <w:rFonts w:ascii="Calibri" w:eastAsia="Times New Roman" w:hAnsi="Calibri" w:cs="Times New Roman"/>
          <w:color w:val="000000"/>
          <w:sz w:val="24"/>
          <w:szCs w:val="24"/>
        </w:rPr>
        <w:t xml:space="preserve"> </w:t>
      </w:r>
      <w:r w:rsidR="002E4046" w:rsidRPr="00DB79C1">
        <w:rPr>
          <w:rFonts w:ascii="Calibri" w:eastAsia="Times New Roman" w:hAnsi="Calibri" w:cs="Times New Roman"/>
          <w:color w:val="000000"/>
          <w:sz w:val="24"/>
          <w:szCs w:val="24"/>
        </w:rPr>
        <w:t>201</w:t>
      </w:r>
      <w:r w:rsidR="002E4046">
        <w:rPr>
          <w:rFonts w:ascii="Calibri" w:eastAsia="Times New Roman" w:hAnsi="Calibri" w:cs="Times New Roman"/>
          <w:color w:val="000000"/>
          <w:sz w:val="24"/>
          <w:szCs w:val="24"/>
        </w:rPr>
        <w:t>9</w:t>
      </w:r>
      <w:r w:rsidR="002E4046" w:rsidRPr="00DB79C1">
        <w:rPr>
          <w:rFonts w:ascii="Calibri" w:eastAsia="Times New Roman" w:hAnsi="Calibri" w:cs="Times New Roman"/>
          <w:color w:val="000000"/>
          <w:sz w:val="24"/>
          <w:szCs w:val="24"/>
        </w:rPr>
        <w:t xml:space="preserve"> </w:t>
      </w:r>
      <w:r w:rsidR="00466185" w:rsidRPr="00DB79C1">
        <w:rPr>
          <w:rFonts w:ascii="Calibri" w:eastAsia="Times New Roman" w:hAnsi="Calibri" w:cs="Times New Roman"/>
          <w:color w:val="000000"/>
          <w:sz w:val="24"/>
          <w:szCs w:val="24"/>
        </w:rPr>
        <w:t xml:space="preserve">that impact the recorded </w:t>
      </w:r>
      <w:r w:rsidR="002E4046" w:rsidRPr="00DB79C1">
        <w:rPr>
          <w:rFonts w:ascii="Calibri" w:eastAsia="Times New Roman" w:hAnsi="Calibri" w:cs="Times New Roman"/>
          <w:color w:val="000000"/>
          <w:sz w:val="24"/>
          <w:szCs w:val="24"/>
        </w:rPr>
        <w:t>20</w:t>
      </w:r>
      <w:r w:rsidR="002E4046">
        <w:rPr>
          <w:rFonts w:ascii="Calibri" w:eastAsia="Times New Roman" w:hAnsi="Calibri" w:cs="Times New Roman"/>
          <w:color w:val="000000"/>
          <w:sz w:val="24"/>
          <w:szCs w:val="24"/>
        </w:rPr>
        <w:t>20</w:t>
      </w:r>
      <w:r w:rsidR="002E4046" w:rsidRPr="00DB79C1">
        <w:rPr>
          <w:rFonts w:ascii="Calibri" w:eastAsia="Times New Roman" w:hAnsi="Calibri" w:cs="Times New Roman"/>
          <w:color w:val="000000"/>
          <w:sz w:val="24"/>
          <w:szCs w:val="24"/>
        </w:rPr>
        <w:t xml:space="preserve"> </w:t>
      </w:r>
      <w:r w:rsidR="00466185" w:rsidRPr="00DB79C1">
        <w:rPr>
          <w:rFonts w:ascii="Calibri" w:eastAsia="Times New Roman" w:hAnsi="Calibri" w:cs="Times New Roman"/>
          <w:color w:val="000000"/>
          <w:sz w:val="24"/>
          <w:szCs w:val="24"/>
        </w:rPr>
        <w:t>year</w:t>
      </w:r>
      <w:r>
        <w:rPr>
          <w:rFonts w:ascii="Calibri" w:eastAsia="Times New Roman" w:hAnsi="Calibri" w:cs="Times New Roman"/>
          <w:color w:val="000000"/>
          <w:sz w:val="24"/>
          <w:szCs w:val="24"/>
        </w:rPr>
        <w:t xml:space="preserve"> and meet the above criteria</w:t>
      </w:r>
      <w:r w:rsidR="00465536" w:rsidRPr="00DB79C1">
        <w:rPr>
          <w:rFonts w:ascii="Calibri" w:eastAsia="Times New Roman" w:hAnsi="Calibri" w:cs="Times New Roman"/>
          <w:color w:val="000000"/>
          <w:sz w:val="24"/>
          <w:szCs w:val="24"/>
        </w:rPr>
        <w:t>:</w:t>
      </w:r>
    </w:p>
    <w:p w14:paraId="3BA99DFD" w14:textId="79665D44" w:rsidR="00EB555F" w:rsidRDefault="00EB555F" w:rsidP="00EB555F">
      <w:pPr>
        <w:rPr>
          <w:rFonts w:eastAsia="Times New Roman" w:cstheme="minorHAnsi"/>
          <w:sz w:val="24"/>
          <w:szCs w:val="24"/>
        </w:rPr>
      </w:pPr>
      <w:r w:rsidRPr="00A51466">
        <w:rPr>
          <w:rFonts w:eastAsia="Times New Roman" w:cstheme="minorHAnsi"/>
          <w:sz w:val="24"/>
          <w:szCs w:val="24"/>
        </w:rPr>
        <w:t xml:space="preserve">On January 1, 2020, SCE adopted a FASB accounting standard to capitalize certain system implementation costs associated with cloud computing arrangements following the model used for internally developed software.  For FERC accounting purposes these implementation costs will be accounted for as utility plant in FERC account 101 Electric Plant in Service and the depreciation will be recorded to FERC account 403 Depreciation Expense. </w:t>
      </w:r>
      <w:bookmarkStart w:id="0" w:name="_Hlk70669636"/>
      <w:r w:rsidRPr="00A51466">
        <w:rPr>
          <w:rFonts w:eastAsia="Times New Roman" w:cstheme="minorHAnsi"/>
          <w:sz w:val="24"/>
          <w:szCs w:val="24"/>
        </w:rPr>
        <w:t xml:space="preserve">The adoption of this guidance did not </w:t>
      </w:r>
      <w:bookmarkStart w:id="1" w:name="_Hlk70681955"/>
      <w:r w:rsidRPr="00A51466">
        <w:rPr>
          <w:rFonts w:eastAsia="Times New Roman" w:cstheme="minorHAnsi"/>
          <w:sz w:val="24"/>
          <w:szCs w:val="24"/>
        </w:rPr>
        <w:t>have a material impact on SCE's financial position or result of operations</w:t>
      </w:r>
      <w:bookmarkEnd w:id="0"/>
      <w:bookmarkEnd w:id="1"/>
      <w:r w:rsidR="00E050B3">
        <w:rPr>
          <w:rFonts w:eastAsia="Times New Roman" w:cstheme="minorHAnsi"/>
          <w:sz w:val="24"/>
          <w:szCs w:val="24"/>
        </w:rPr>
        <w:t xml:space="preserve"> in 2020</w:t>
      </w:r>
      <w:r w:rsidRPr="00A51466">
        <w:rPr>
          <w:rFonts w:eastAsia="Times New Roman" w:cstheme="minorHAnsi"/>
          <w:sz w:val="24"/>
          <w:szCs w:val="24"/>
        </w:rPr>
        <w:t>.</w:t>
      </w:r>
      <w:r w:rsidR="00D20189">
        <w:rPr>
          <w:rFonts w:eastAsia="Times New Roman" w:cstheme="minorHAnsi"/>
          <w:sz w:val="24"/>
          <w:szCs w:val="24"/>
        </w:rPr>
        <w:t xml:space="preserve">  </w:t>
      </w:r>
      <w:r w:rsidR="009A1DE1" w:rsidRPr="00A51466">
        <w:rPr>
          <w:rFonts w:eastAsia="Times New Roman" w:cstheme="minorHAnsi"/>
          <w:sz w:val="24"/>
          <w:szCs w:val="24"/>
        </w:rPr>
        <w:t xml:space="preserve">The adoption of this guidance </w:t>
      </w:r>
      <w:r w:rsidR="009A1DE1">
        <w:rPr>
          <w:rFonts w:eastAsia="Times New Roman" w:cstheme="minorHAnsi"/>
          <w:sz w:val="24"/>
          <w:szCs w:val="24"/>
        </w:rPr>
        <w:t>may have</w:t>
      </w:r>
      <w:r w:rsidR="009A1DE1" w:rsidRPr="00A51466">
        <w:rPr>
          <w:rFonts w:eastAsia="Times New Roman" w:cstheme="minorHAnsi"/>
          <w:sz w:val="24"/>
          <w:szCs w:val="24"/>
        </w:rPr>
        <w:t xml:space="preserve"> a material impact on SCE's financial position or result of operations</w:t>
      </w:r>
      <w:r w:rsidR="00A16AD6">
        <w:rPr>
          <w:rFonts w:eastAsia="Times New Roman" w:cstheme="minorHAnsi"/>
          <w:sz w:val="24"/>
          <w:szCs w:val="24"/>
        </w:rPr>
        <w:t xml:space="preserve"> in the future </w:t>
      </w:r>
      <w:proofErr w:type="gramStart"/>
      <w:r w:rsidR="00A16AD6">
        <w:rPr>
          <w:rFonts w:eastAsia="Times New Roman" w:cstheme="minorHAnsi"/>
          <w:sz w:val="24"/>
          <w:szCs w:val="24"/>
        </w:rPr>
        <w:t>as a result of</w:t>
      </w:r>
      <w:proofErr w:type="gramEnd"/>
      <w:r w:rsidR="00A16AD6">
        <w:rPr>
          <w:rFonts w:eastAsia="Times New Roman" w:cstheme="minorHAnsi"/>
          <w:sz w:val="24"/>
          <w:szCs w:val="24"/>
        </w:rPr>
        <w:t xml:space="preserve"> implementation </w:t>
      </w:r>
      <w:r w:rsidR="007F3D15">
        <w:rPr>
          <w:rFonts w:eastAsia="Times New Roman" w:cstheme="minorHAnsi"/>
          <w:sz w:val="24"/>
          <w:szCs w:val="24"/>
        </w:rPr>
        <w:t>compared to application of previous guidance</w:t>
      </w:r>
      <w:r w:rsidR="009A1DE1" w:rsidRPr="00A51466">
        <w:rPr>
          <w:rFonts w:eastAsia="Times New Roman" w:cstheme="minorHAnsi"/>
          <w:sz w:val="24"/>
          <w:szCs w:val="24"/>
        </w:rPr>
        <w:t>.</w:t>
      </w:r>
    </w:p>
    <w:p w14:paraId="6714F901" w14:textId="77777777" w:rsidR="00AD5AAC" w:rsidRDefault="00AD5AAC" w:rsidP="00EB555F">
      <w:pPr>
        <w:rPr>
          <w:rFonts w:eastAsia="Times New Roman" w:cstheme="minorHAnsi"/>
          <w:sz w:val="24"/>
          <w:szCs w:val="24"/>
        </w:rPr>
      </w:pPr>
    </w:p>
    <w:p w14:paraId="751EC5DA" w14:textId="1E9BB600" w:rsidR="00EB555F" w:rsidRPr="00A51466" w:rsidRDefault="00EB555F" w:rsidP="00EB555F">
      <w:pPr>
        <w:rPr>
          <w:rFonts w:eastAsia="Times New Roman" w:cstheme="minorHAnsi"/>
          <w:sz w:val="24"/>
          <w:szCs w:val="24"/>
        </w:rPr>
      </w:pPr>
      <w:r w:rsidRPr="00A51466">
        <w:rPr>
          <w:rFonts w:eastAsia="Times New Roman" w:cstheme="minorHAnsi"/>
          <w:sz w:val="24"/>
          <w:szCs w:val="24"/>
        </w:rPr>
        <w:t xml:space="preserve">On January 1, 2020, SCE adopted a FASB accounting standard that changes the method of measuring credit losses from an incurred loss basis to a current expected credit loss basis from financial instruments and other commitments.   SCE adopted this guidance using the prospective adoption approach to available-for-sale debt securities and the modified </w:t>
      </w:r>
      <w:r w:rsidRPr="00A51466">
        <w:rPr>
          <w:rFonts w:eastAsia="Times New Roman" w:cstheme="minorHAnsi"/>
          <w:sz w:val="24"/>
          <w:szCs w:val="24"/>
        </w:rPr>
        <w:lastRenderedPageBreak/>
        <w:t>retrospective approach to all other financial assets, with no cumulative-effect adjustment to Retained Earnings FERC account 439 recorded. The adoption of this guidance did not have a material impact on SCE's financial position or result of operations</w:t>
      </w:r>
      <w:r w:rsidR="00E6662E">
        <w:rPr>
          <w:rFonts w:eastAsia="Times New Roman" w:cstheme="minorHAnsi"/>
          <w:sz w:val="24"/>
          <w:szCs w:val="24"/>
        </w:rPr>
        <w:t>.  E</w:t>
      </w:r>
      <w:r w:rsidR="00CA5206">
        <w:rPr>
          <w:rFonts w:eastAsia="Times New Roman" w:cstheme="minorHAnsi"/>
          <w:sz w:val="24"/>
          <w:szCs w:val="24"/>
        </w:rPr>
        <w:t>xpenses during 2020</w:t>
      </w:r>
      <w:r w:rsidR="00E6662E">
        <w:rPr>
          <w:rFonts w:eastAsia="Times New Roman" w:cstheme="minorHAnsi"/>
          <w:sz w:val="24"/>
          <w:szCs w:val="24"/>
        </w:rPr>
        <w:t xml:space="preserve"> increased</w:t>
      </w:r>
      <w:r w:rsidR="00C0124A">
        <w:rPr>
          <w:rFonts w:eastAsia="Times New Roman" w:cstheme="minorHAnsi"/>
          <w:sz w:val="24"/>
          <w:szCs w:val="24"/>
        </w:rPr>
        <w:t xml:space="preserve"> </w:t>
      </w:r>
      <w:proofErr w:type="gramStart"/>
      <w:r w:rsidR="00C0124A">
        <w:rPr>
          <w:rFonts w:eastAsia="Times New Roman" w:cstheme="minorHAnsi"/>
          <w:sz w:val="24"/>
          <w:szCs w:val="24"/>
        </w:rPr>
        <w:t>as a result of</w:t>
      </w:r>
      <w:proofErr w:type="gramEnd"/>
      <w:r w:rsidR="00C0124A">
        <w:rPr>
          <w:rFonts w:eastAsia="Times New Roman" w:cstheme="minorHAnsi"/>
          <w:sz w:val="24"/>
          <w:szCs w:val="24"/>
        </w:rPr>
        <w:t xml:space="preserve"> assessment of future events </w:t>
      </w:r>
      <w:r w:rsidR="001925AE">
        <w:rPr>
          <w:rFonts w:eastAsia="Times New Roman" w:cstheme="minorHAnsi"/>
          <w:sz w:val="24"/>
          <w:szCs w:val="24"/>
        </w:rPr>
        <w:t xml:space="preserve">on </w:t>
      </w:r>
      <w:r w:rsidR="00913EA5">
        <w:rPr>
          <w:rFonts w:eastAsia="Times New Roman" w:cstheme="minorHAnsi"/>
          <w:sz w:val="24"/>
          <w:szCs w:val="24"/>
        </w:rPr>
        <w:t>uncollectible accounts receivable</w:t>
      </w:r>
      <w:r w:rsidRPr="00A51466">
        <w:rPr>
          <w:rFonts w:eastAsia="Times New Roman" w:cstheme="minorHAnsi"/>
          <w:sz w:val="24"/>
          <w:szCs w:val="24"/>
        </w:rPr>
        <w:t>.</w:t>
      </w:r>
      <w:r w:rsidR="0055422F">
        <w:rPr>
          <w:rFonts w:eastAsia="Times New Roman" w:cstheme="minorHAnsi"/>
          <w:sz w:val="24"/>
          <w:szCs w:val="24"/>
        </w:rPr>
        <w:t xml:space="preserve">  </w:t>
      </w:r>
      <w:r w:rsidR="00E91DBF" w:rsidRPr="003E1674">
        <w:rPr>
          <w:rFonts w:eastAsia="Times New Roman" w:cstheme="minorHAnsi"/>
          <w:sz w:val="24"/>
          <w:szCs w:val="24"/>
        </w:rPr>
        <w:t>Had this accounting standard not been implemented</w:t>
      </w:r>
      <w:r w:rsidR="002F1835" w:rsidRPr="003E1674">
        <w:rPr>
          <w:rFonts w:eastAsia="Times New Roman" w:cstheme="minorHAnsi"/>
          <w:sz w:val="24"/>
          <w:szCs w:val="24"/>
        </w:rPr>
        <w:t>, expense would ha</w:t>
      </w:r>
      <w:r w:rsidR="003D0C3A" w:rsidRPr="003E1674">
        <w:rPr>
          <w:rFonts w:eastAsia="Times New Roman" w:cstheme="minorHAnsi"/>
          <w:sz w:val="24"/>
          <w:szCs w:val="24"/>
        </w:rPr>
        <w:t>ve increased at a later point based on historical data.</w:t>
      </w:r>
    </w:p>
    <w:p w14:paraId="38993F52" w14:textId="77777777" w:rsidR="00EB555F" w:rsidRPr="00A51466" w:rsidRDefault="00EB555F" w:rsidP="00EB555F">
      <w:pPr>
        <w:rPr>
          <w:rFonts w:eastAsia="Times New Roman" w:cstheme="minorHAnsi"/>
          <w:sz w:val="24"/>
          <w:szCs w:val="24"/>
        </w:rPr>
      </w:pPr>
    </w:p>
    <w:p w14:paraId="6A1F01D5" w14:textId="5B766CFA" w:rsidR="00EB555F" w:rsidRPr="00A51466" w:rsidRDefault="00EB555F" w:rsidP="00EB555F">
      <w:pPr>
        <w:rPr>
          <w:rFonts w:cstheme="minorHAnsi"/>
          <w:sz w:val="24"/>
          <w:szCs w:val="24"/>
        </w:rPr>
      </w:pPr>
      <w:r w:rsidRPr="00A51466">
        <w:rPr>
          <w:rFonts w:eastAsia="Times New Roman" w:cstheme="minorHAnsi"/>
          <w:sz w:val="24"/>
          <w:szCs w:val="24"/>
        </w:rPr>
        <w:t xml:space="preserve">On April 1, 2020, SCE adopted a FASB accounting standard </w:t>
      </w:r>
      <w:r w:rsidRPr="00A51466">
        <w:rPr>
          <w:rFonts w:cstheme="minorHAnsi"/>
          <w:sz w:val="24"/>
          <w:szCs w:val="24"/>
        </w:rPr>
        <w:t>prospectively</w:t>
      </w:r>
      <w:r w:rsidRPr="00A51466">
        <w:rPr>
          <w:rFonts w:eastAsia="Times New Roman" w:cstheme="minorHAnsi"/>
          <w:sz w:val="24"/>
          <w:szCs w:val="24"/>
        </w:rPr>
        <w:t xml:space="preserve"> that provides elective relief involving contracts, hedging relationships, and other transactions that reference LIBOR or another reference rate expected to be discontinued because of reference rate reform.</w:t>
      </w:r>
      <w:r w:rsidRPr="00A51466">
        <w:rPr>
          <w:rFonts w:cstheme="minorHAnsi"/>
          <w:sz w:val="24"/>
          <w:szCs w:val="24"/>
        </w:rPr>
        <w:t xml:space="preserve"> SCE has not utilized any of the expedients therefore there is no impact on adoption of the guidance. </w:t>
      </w:r>
    </w:p>
    <w:p w14:paraId="42962870" w14:textId="77777777" w:rsidR="00EB555F" w:rsidRPr="00A51466" w:rsidRDefault="00EB555F" w:rsidP="00EB555F">
      <w:pPr>
        <w:rPr>
          <w:rFonts w:cstheme="minorHAnsi"/>
          <w:sz w:val="24"/>
          <w:szCs w:val="24"/>
        </w:rPr>
      </w:pPr>
    </w:p>
    <w:p w14:paraId="53BDA786" w14:textId="77777777" w:rsidR="00EB555F" w:rsidRPr="00A51466" w:rsidRDefault="00EB555F" w:rsidP="00EB555F">
      <w:pPr>
        <w:rPr>
          <w:rFonts w:cstheme="minorHAnsi"/>
          <w:sz w:val="24"/>
          <w:szCs w:val="24"/>
        </w:rPr>
      </w:pPr>
      <w:r w:rsidRPr="00A51466">
        <w:rPr>
          <w:rFonts w:cstheme="minorHAnsi"/>
          <w:sz w:val="24"/>
          <w:szCs w:val="24"/>
        </w:rPr>
        <w:t>On July 30</w:t>
      </w:r>
      <w:r w:rsidRPr="00A51466">
        <w:rPr>
          <w:rFonts w:cstheme="minorHAnsi"/>
          <w:sz w:val="24"/>
          <w:szCs w:val="24"/>
          <w:vertAlign w:val="superscript"/>
        </w:rPr>
        <w:t>th</w:t>
      </w:r>
      <w:r w:rsidRPr="00A51466">
        <w:rPr>
          <w:rFonts w:cstheme="minorHAnsi"/>
          <w:sz w:val="24"/>
          <w:szCs w:val="24"/>
        </w:rPr>
        <w:t>, 2020, FERC approved SCE’s request to</w:t>
      </w:r>
      <w:bookmarkStart w:id="2" w:name="_Hlk70669455"/>
      <w:bookmarkStart w:id="3" w:name="_Hlk70681363"/>
      <w:r w:rsidRPr="00A51466">
        <w:rPr>
          <w:rFonts w:cstheme="minorHAnsi"/>
          <w:sz w:val="24"/>
          <w:szCs w:val="24"/>
        </w:rPr>
        <w:t xml:space="preserve"> use a special AFUDC rate for wildfire risk mitigation investments, which are not eligible to earn a return on equity and are intended to be financed entirely with debt under AB 1054, and exclude short-term debt specifically issued to finance CWIP related to wildfire risk mitigation investments from the calculation of the AFUDC rate for non-wildfire risk mitigation CWIP</w:t>
      </w:r>
      <w:bookmarkEnd w:id="2"/>
      <w:bookmarkEnd w:id="3"/>
      <w:r w:rsidRPr="00A51466">
        <w:rPr>
          <w:rFonts w:cstheme="minorHAnsi"/>
          <w:sz w:val="24"/>
          <w:szCs w:val="24"/>
        </w:rPr>
        <w:t>.</w:t>
      </w:r>
    </w:p>
    <w:p w14:paraId="04541B3E" w14:textId="77777777" w:rsidR="008E1D1E" w:rsidRDefault="008E1D1E" w:rsidP="6833DEBD">
      <w:pPr>
        <w:rPr>
          <w:rFonts w:eastAsia="Times New Roman" w:cstheme="minorHAnsi"/>
          <w:sz w:val="24"/>
          <w:szCs w:val="24"/>
        </w:rPr>
      </w:pPr>
    </w:p>
    <w:p w14:paraId="32B47F81" w14:textId="49C9D59D" w:rsidR="002E4046" w:rsidRPr="00010B0E" w:rsidRDefault="00071930" w:rsidP="1C7F136D">
      <w:pPr>
        <w:rPr>
          <w:rFonts w:eastAsia="Times New Roman"/>
          <w:sz w:val="24"/>
          <w:szCs w:val="24"/>
        </w:rPr>
      </w:pPr>
      <w:r w:rsidRPr="79421D54">
        <w:rPr>
          <w:rFonts w:eastAsia="Times New Roman"/>
          <w:sz w:val="24"/>
          <w:szCs w:val="24"/>
        </w:rPr>
        <w:t xml:space="preserve">SCE has calculated the </w:t>
      </w:r>
      <w:proofErr w:type="spellStart"/>
      <w:r w:rsidRPr="79421D54">
        <w:rPr>
          <w:rFonts w:eastAsia="Times New Roman"/>
          <w:sz w:val="24"/>
          <w:szCs w:val="24"/>
        </w:rPr>
        <w:t>uncollectibles</w:t>
      </w:r>
      <w:proofErr w:type="spellEnd"/>
      <w:r w:rsidRPr="79421D54">
        <w:rPr>
          <w:rFonts w:eastAsia="Times New Roman"/>
          <w:sz w:val="24"/>
          <w:szCs w:val="24"/>
        </w:rPr>
        <w:t xml:space="preserve"> factor applicable to calendar year 2020 under Schedule 28 of the formula rate </w:t>
      </w:r>
      <w:r w:rsidR="002D6C54">
        <w:rPr>
          <w:rFonts w:eastAsia="Times New Roman"/>
          <w:sz w:val="24"/>
          <w:szCs w:val="24"/>
        </w:rPr>
        <w:t>utilizing</w:t>
      </w:r>
      <w:r w:rsidRPr="79421D54">
        <w:rPr>
          <w:rFonts w:eastAsia="Times New Roman"/>
          <w:sz w:val="24"/>
          <w:szCs w:val="24"/>
        </w:rPr>
        <w:t xml:space="preserve"> the total 2020 uncollectible amounts as reported in CPUC Advice Letter 4</w:t>
      </w:r>
      <w:r w:rsidR="00791FA5" w:rsidRPr="79421D54">
        <w:rPr>
          <w:rFonts w:eastAsia="Times New Roman"/>
          <w:sz w:val="24"/>
          <w:szCs w:val="24"/>
        </w:rPr>
        <w:t>377-E-A</w:t>
      </w:r>
      <w:r w:rsidRPr="79421D54">
        <w:rPr>
          <w:rFonts w:eastAsia="Times New Roman"/>
          <w:sz w:val="24"/>
          <w:szCs w:val="24"/>
        </w:rPr>
        <w:t xml:space="preserve">, filed </w:t>
      </w:r>
      <w:r w:rsidR="00791FA5" w:rsidRPr="79421D54">
        <w:rPr>
          <w:rFonts w:eastAsia="Times New Roman"/>
          <w:sz w:val="24"/>
          <w:szCs w:val="24"/>
        </w:rPr>
        <w:t>January 11, 2021</w:t>
      </w:r>
      <w:r w:rsidRPr="79421D54">
        <w:rPr>
          <w:rFonts w:eastAsia="Times New Roman"/>
          <w:sz w:val="24"/>
          <w:szCs w:val="24"/>
        </w:rPr>
        <w:t xml:space="preserve">, and approved by the CPUC on </w:t>
      </w:r>
      <w:r w:rsidR="00E11A0F" w:rsidRPr="79421D54">
        <w:rPr>
          <w:rFonts w:eastAsia="Times New Roman"/>
          <w:sz w:val="24"/>
          <w:szCs w:val="24"/>
        </w:rPr>
        <w:t>January 25, 2021</w:t>
      </w:r>
      <w:r w:rsidRPr="79421D54">
        <w:rPr>
          <w:rFonts w:eastAsia="Times New Roman"/>
          <w:sz w:val="24"/>
          <w:szCs w:val="24"/>
        </w:rPr>
        <w:t>.   See also “WP Schedule 28 FFU”.</w:t>
      </w:r>
      <w:r w:rsidR="003D4018" w:rsidRPr="79421D54">
        <w:rPr>
          <w:rFonts w:eastAsia="Times New Roman"/>
          <w:sz w:val="24"/>
          <w:szCs w:val="24"/>
        </w:rPr>
        <w:t xml:space="preserve"> </w:t>
      </w:r>
      <w:r w:rsidR="0089768C" w:rsidRPr="79421D54">
        <w:rPr>
          <w:rFonts w:eastAsia="Times New Roman"/>
          <w:sz w:val="24"/>
          <w:szCs w:val="24"/>
        </w:rPr>
        <w:t xml:space="preserve"> </w:t>
      </w:r>
      <w:r w:rsidR="007F0067" w:rsidRPr="79421D54">
        <w:rPr>
          <w:rFonts w:eastAsia="Times New Roman"/>
          <w:sz w:val="24"/>
          <w:szCs w:val="24"/>
        </w:rPr>
        <w:t>This change w</w:t>
      </w:r>
      <w:r w:rsidR="00104487" w:rsidRPr="79421D54">
        <w:rPr>
          <w:rFonts w:eastAsia="Times New Roman"/>
          <w:sz w:val="24"/>
          <w:szCs w:val="24"/>
        </w:rPr>
        <w:t>as</w:t>
      </w:r>
      <w:r w:rsidR="007F0067" w:rsidRPr="79421D54">
        <w:rPr>
          <w:rFonts w:eastAsia="Times New Roman"/>
          <w:sz w:val="24"/>
          <w:szCs w:val="24"/>
        </w:rPr>
        <w:t xml:space="preserve"> necessar</w:t>
      </w:r>
      <w:r w:rsidR="004F2402" w:rsidRPr="79421D54">
        <w:rPr>
          <w:rFonts w:eastAsia="Times New Roman"/>
          <w:sz w:val="24"/>
          <w:szCs w:val="24"/>
        </w:rPr>
        <w:t xml:space="preserve">y </w:t>
      </w:r>
      <w:r w:rsidR="007F0067" w:rsidRPr="79421D54">
        <w:rPr>
          <w:rFonts w:eastAsia="Times New Roman"/>
          <w:sz w:val="24"/>
          <w:szCs w:val="24"/>
        </w:rPr>
        <w:t xml:space="preserve">due to the dramatic increase in </w:t>
      </w:r>
      <w:proofErr w:type="spellStart"/>
      <w:r w:rsidR="007F0067" w:rsidRPr="79421D54">
        <w:rPr>
          <w:rFonts w:eastAsia="Times New Roman"/>
          <w:sz w:val="24"/>
          <w:szCs w:val="24"/>
        </w:rPr>
        <w:t>uncollectibles</w:t>
      </w:r>
      <w:proofErr w:type="spellEnd"/>
      <w:r w:rsidR="007F0067" w:rsidRPr="79421D54">
        <w:rPr>
          <w:rFonts w:eastAsia="Times New Roman"/>
          <w:sz w:val="24"/>
          <w:szCs w:val="24"/>
        </w:rPr>
        <w:t xml:space="preserve"> </w:t>
      </w:r>
      <w:r w:rsidR="00EE381F" w:rsidRPr="79421D54">
        <w:rPr>
          <w:rFonts w:eastAsia="Times New Roman"/>
          <w:sz w:val="24"/>
          <w:szCs w:val="24"/>
        </w:rPr>
        <w:t xml:space="preserve">balances </w:t>
      </w:r>
      <w:r w:rsidR="003E18AB" w:rsidRPr="79421D54">
        <w:rPr>
          <w:rFonts w:eastAsia="Times New Roman"/>
          <w:sz w:val="24"/>
          <w:szCs w:val="24"/>
        </w:rPr>
        <w:t xml:space="preserve">since early </w:t>
      </w:r>
      <w:r w:rsidR="007F0067" w:rsidRPr="79421D54">
        <w:rPr>
          <w:rFonts w:eastAsia="Times New Roman"/>
          <w:sz w:val="24"/>
          <w:szCs w:val="24"/>
        </w:rPr>
        <w:t xml:space="preserve">2020 </w:t>
      </w:r>
      <w:r w:rsidR="3F1ADFB4" w:rsidRPr="79421D54">
        <w:rPr>
          <w:rFonts w:eastAsia="Times New Roman"/>
          <w:sz w:val="24"/>
          <w:szCs w:val="24"/>
        </w:rPr>
        <w:t>as a consequence of</w:t>
      </w:r>
      <w:r w:rsidR="007F0067" w:rsidRPr="79421D54">
        <w:rPr>
          <w:rFonts w:eastAsia="Times New Roman"/>
          <w:sz w:val="24"/>
          <w:szCs w:val="24"/>
        </w:rPr>
        <w:t xml:space="preserve"> the </w:t>
      </w:r>
      <w:r w:rsidR="00D37A1C" w:rsidRPr="79421D54">
        <w:rPr>
          <w:rFonts w:eastAsia="Times New Roman"/>
          <w:sz w:val="24"/>
          <w:szCs w:val="24"/>
        </w:rPr>
        <w:t xml:space="preserve">Covid-19 </w:t>
      </w:r>
      <w:r w:rsidR="007F0067" w:rsidRPr="79421D54">
        <w:rPr>
          <w:rFonts w:eastAsia="Times New Roman"/>
          <w:sz w:val="24"/>
          <w:szCs w:val="24"/>
        </w:rPr>
        <w:t>pandemic</w:t>
      </w:r>
      <w:r w:rsidR="0006505C" w:rsidRPr="79421D54">
        <w:rPr>
          <w:rFonts w:eastAsia="Times New Roman"/>
          <w:sz w:val="24"/>
          <w:szCs w:val="24"/>
        </w:rPr>
        <w:t xml:space="preserve"> and its economic impact on SCE customers</w:t>
      </w:r>
      <w:r w:rsidR="00557D96" w:rsidRPr="79421D54">
        <w:rPr>
          <w:rFonts w:eastAsia="Times New Roman"/>
          <w:sz w:val="24"/>
          <w:szCs w:val="24"/>
        </w:rPr>
        <w:t>, as well as CPUC and SCE efforts to limit disconnections</w:t>
      </w:r>
      <w:r w:rsidR="00B2592D" w:rsidRPr="79421D54">
        <w:rPr>
          <w:rFonts w:eastAsia="Times New Roman"/>
          <w:sz w:val="24"/>
          <w:szCs w:val="24"/>
        </w:rPr>
        <w:t xml:space="preserve"> for nonpayment during this period</w:t>
      </w:r>
      <w:r w:rsidR="007F0067" w:rsidRPr="79421D54">
        <w:rPr>
          <w:rFonts w:eastAsia="Times New Roman"/>
          <w:sz w:val="24"/>
          <w:szCs w:val="24"/>
        </w:rPr>
        <w:t>.</w:t>
      </w:r>
      <w:r w:rsidR="00D50FB4" w:rsidRPr="79421D54">
        <w:rPr>
          <w:rFonts w:eastAsia="Times New Roman"/>
          <w:sz w:val="24"/>
          <w:szCs w:val="24"/>
        </w:rPr>
        <w:t xml:space="preserve">  This </w:t>
      </w:r>
      <w:r w:rsidR="009B093D" w:rsidRPr="79421D54">
        <w:rPr>
          <w:rFonts w:eastAsia="Times New Roman"/>
          <w:sz w:val="24"/>
          <w:szCs w:val="24"/>
        </w:rPr>
        <w:t>change affects retail transmission rates but has no effect on wholesale transmission rates.</w:t>
      </w:r>
      <w:r w:rsidR="00104487" w:rsidRPr="79421D54">
        <w:rPr>
          <w:rFonts w:eastAsia="Times New Roman"/>
          <w:sz w:val="24"/>
          <w:szCs w:val="24"/>
        </w:rPr>
        <w:t xml:space="preserve"> </w:t>
      </w:r>
    </w:p>
    <w:p w14:paraId="016BE58D" w14:textId="77777777" w:rsidR="00071930" w:rsidRPr="00A51466" w:rsidRDefault="00071930" w:rsidP="6833DEBD">
      <w:pPr>
        <w:rPr>
          <w:rFonts w:eastAsia="Times New Roman" w:cstheme="minorHAnsi"/>
          <w:color w:val="FF0000"/>
          <w:sz w:val="24"/>
          <w:szCs w:val="24"/>
        </w:rPr>
      </w:pPr>
    </w:p>
    <w:sectPr w:rsidR="00071930" w:rsidRPr="00A5146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A1077" w14:textId="77777777" w:rsidR="00BC5E6A" w:rsidRDefault="00BC5E6A" w:rsidP="00466185">
      <w:pPr>
        <w:spacing w:after="0" w:line="240" w:lineRule="auto"/>
      </w:pPr>
      <w:r>
        <w:separator/>
      </w:r>
    </w:p>
  </w:endnote>
  <w:endnote w:type="continuationSeparator" w:id="0">
    <w:p w14:paraId="77B9099C" w14:textId="77777777" w:rsidR="00BC5E6A" w:rsidRDefault="00BC5E6A" w:rsidP="00466185">
      <w:pPr>
        <w:spacing w:after="0" w:line="240" w:lineRule="auto"/>
      </w:pPr>
      <w:r>
        <w:continuationSeparator/>
      </w:r>
    </w:p>
  </w:endnote>
  <w:endnote w:type="continuationNotice" w:id="1">
    <w:p w14:paraId="2E0E7118" w14:textId="77777777" w:rsidR="00BC5E6A" w:rsidRDefault="00BC5E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CBB59" w14:textId="77777777" w:rsidR="00BC5E6A" w:rsidRDefault="00BC5E6A" w:rsidP="00466185">
      <w:pPr>
        <w:spacing w:after="0" w:line="240" w:lineRule="auto"/>
      </w:pPr>
      <w:r>
        <w:separator/>
      </w:r>
    </w:p>
  </w:footnote>
  <w:footnote w:type="continuationSeparator" w:id="0">
    <w:p w14:paraId="389D71A1" w14:textId="77777777" w:rsidR="00BC5E6A" w:rsidRDefault="00BC5E6A" w:rsidP="00466185">
      <w:pPr>
        <w:spacing w:after="0" w:line="240" w:lineRule="auto"/>
      </w:pPr>
      <w:r>
        <w:continuationSeparator/>
      </w:r>
    </w:p>
  </w:footnote>
  <w:footnote w:type="continuationNotice" w:id="1">
    <w:p w14:paraId="710891B5" w14:textId="77777777" w:rsidR="00BC5E6A" w:rsidRDefault="00BC5E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D7390" w14:textId="42FE24E9" w:rsidR="00066A7C" w:rsidRDefault="00127C12" w:rsidP="00066A7C">
    <w:pPr>
      <w:pStyle w:val="Header"/>
      <w:jc w:val="right"/>
    </w:pPr>
    <w:r>
      <w:t>TO202</w:t>
    </w:r>
    <w:r w:rsidR="002E4046">
      <w:t>2</w:t>
    </w:r>
    <w:r w:rsidR="00D0797E">
      <w:t xml:space="preserve"> </w:t>
    </w:r>
    <w:r w:rsidR="002E4046">
      <w:t xml:space="preserve">Draft </w:t>
    </w:r>
    <w:r w:rsidR="00066A7C">
      <w:t>Annual Update</w:t>
    </w:r>
  </w:p>
  <w:p w14:paraId="3597226C" w14:textId="77777777" w:rsidR="00066A7C" w:rsidRDefault="00066A7C" w:rsidP="00066A7C">
    <w:pPr>
      <w:pStyle w:val="Header"/>
      <w:jc w:val="right"/>
    </w:pPr>
    <w:r>
      <w:t>Attachment 4</w:t>
    </w:r>
  </w:p>
  <w:p w14:paraId="5912151B" w14:textId="5E9C7B2B" w:rsidR="00466185" w:rsidRDefault="00066A7C" w:rsidP="00066A7C">
    <w:pPr>
      <w:pStyle w:val="Header"/>
      <w:jc w:val="right"/>
    </w:pPr>
    <w:r>
      <w:t>WP-Material Accounting Changes</w:t>
    </w:r>
  </w:p>
  <w:p w14:paraId="5912151E" w14:textId="11DE59B0" w:rsidR="00466185" w:rsidRPr="00DD0216" w:rsidRDefault="004B7BD1"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sidR="00120641">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sidR="0015401B">
          <w:rPr>
            <w:rFonts w:cs="Times New Roman"/>
            <w:bCs/>
            <w:szCs w:val="18"/>
          </w:rPr>
          <w:t>2</w:t>
        </w:r>
      </w:sdtContent>
    </w:sdt>
  </w:p>
  <w:p w14:paraId="5912151F" w14:textId="77777777" w:rsidR="00466185" w:rsidRDefault="00466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185"/>
    <w:rsid w:val="00000136"/>
    <w:rsid w:val="00010B0E"/>
    <w:rsid w:val="0001281F"/>
    <w:rsid w:val="000222EA"/>
    <w:rsid w:val="00064076"/>
    <w:rsid w:val="00064A9F"/>
    <w:rsid w:val="0006505C"/>
    <w:rsid w:val="00066A7C"/>
    <w:rsid w:val="00071930"/>
    <w:rsid w:val="00072055"/>
    <w:rsid w:val="000902B3"/>
    <w:rsid w:val="00096037"/>
    <w:rsid w:val="000A5E9D"/>
    <w:rsid w:val="000B4102"/>
    <w:rsid w:val="000C073B"/>
    <w:rsid w:val="000E2C32"/>
    <w:rsid w:val="00101944"/>
    <w:rsid w:val="00104487"/>
    <w:rsid w:val="001068C7"/>
    <w:rsid w:val="00120641"/>
    <w:rsid w:val="00127C12"/>
    <w:rsid w:val="0015401B"/>
    <w:rsid w:val="0016014B"/>
    <w:rsid w:val="001656C9"/>
    <w:rsid w:val="001731FC"/>
    <w:rsid w:val="0017626A"/>
    <w:rsid w:val="001925AE"/>
    <w:rsid w:val="00195DA6"/>
    <w:rsid w:val="00197EDB"/>
    <w:rsid w:val="00197FE0"/>
    <w:rsid w:val="001A3B3C"/>
    <w:rsid w:val="001D5AB9"/>
    <w:rsid w:val="001D6A82"/>
    <w:rsid w:val="001E24FA"/>
    <w:rsid w:val="001E3D86"/>
    <w:rsid w:val="001F1EBE"/>
    <w:rsid w:val="002068EE"/>
    <w:rsid w:val="00207188"/>
    <w:rsid w:val="002075AC"/>
    <w:rsid w:val="00207C2F"/>
    <w:rsid w:val="00217DC0"/>
    <w:rsid w:val="0024083B"/>
    <w:rsid w:val="00242732"/>
    <w:rsid w:val="00265F9C"/>
    <w:rsid w:val="00282DE8"/>
    <w:rsid w:val="00284E29"/>
    <w:rsid w:val="00293105"/>
    <w:rsid w:val="002B51D3"/>
    <w:rsid w:val="002B5BC0"/>
    <w:rsid w:val="002D0D77"/>
    <w:rsid w:val="002D311A"/>
    <w:rsid w:val="002D6C54"/>
    <w:rsid w:val="002E4046"/>
    <w:rsid w:val="002F1835"/>
    <w:rsid w:val="00300A7C"/>
    <w:rsid w:val="003074D8"/>
    <w:rsid w:val="003275A9"/>
    <w:rsid w:val="00345C2F"/>
    <w:rsid w:val="00360FCC"/>
    <w:rsid w:val="00371424"/>
    <w:rsid w:val="003767C5"/>
    <w:rsid w:val="00391F5D"/>
    <w:rsid w:val="00392CFC"/>
    <w:rsid w:val="003A2CBA"/>
    <w:rsid w:val="003B2627"/>
    <w:rsid w:val="003C4166"/>
    <w:rsid w:val="003D0C3A"/>
    <w:rsid w:val="003D4018"/>
    <w:rsid w:val="003E1674"/>
    <w:rsid w:val="003E18AB"/>
    <w:rsid w:val="003F6E4B"/>
    <w:rsid w:val="00421F34"/>
    <w:rsid w:val="00425DC2"/>
    <w:rsid w:val="004365DC"/>
    <w:rsid w:val="00436BFD"/>
    <w:rsid w:val="004439CB"/>
    <w:rsid w:val="004521C5"/>
    <w:rsid w:val="00464B46"/>
    <w:rsid w:val="00465536"/>
    <w:rsid w:val="00466185"/>
    <w:rsid w:val="00486290"/>
    <w:rsid w:val="004921F2"/>
    <w:rsid w:val="004C796A"/>
    <w:rsid w:val="004D0DC9"/>
    <w:rsid w:val="004E3753"/>
    <w:rsid w:val="004F2402"/>
    <w:rsid w:val="004F3610"/>
    <w:rsid w:val="00525595"/>
    <w:rsid w:val="00525DC3"/>
    <w:rsid w:val="00540635"/>
    <w:rsid w:val="005507B6"/>
    <w:rsid w:val="0055422F"/>
    <w:rsid w:val="005555BA"/>
    <w:rsid w:val="00557D96"/>
    <w:rsid w:val="005720C9"/>
    <w:rsid w:val="005934E2"/>
    <w:rsid w:val="005A1EF5"/>
    <w:rsid w:val="005A6BBA"/>
    <w:rsid w:val="005B2237"/>
    <w:rsid w:val="005B31BA"/>
    <w:rsid w:val="005C1E8C"/>
    <w:rsid w:val="005D2670"/>
    <w:rsid w:val="005D5497"/>
    <w:rsid w:val="005D5860"/>
    <w:rsid w:val="005F103A"/>
    <w:rsid w:val="005F6EB3"/>
    <w:rsid w:val="00620A7E"/>
    <w:rsid w:val="00622968"/>
    <w:rsid w:val="00643A14"/>
    <w:rsid w:val="0064597E"/>
    <w:rsid w:val="00692F59"/>
    <w:rsid w:val="006A27FE"/>
    <w:rsid w:val="006B52B8"/>
    <w:rsid w:val="006C219D"/>
    <w:rsid w:val="006C3CC6"/>
    <w:rsid w:val="006D776C"/>
    <w:rsid w:val="006E64EB"/>
    <w:rsid w:val="006F6EE8"/>
    <w:rsid w:val="007019BE"/>
    <w:rsid w:val="00706881"/>
    <w:rsid w:val="00710EF7"/>
    <w:rsid w:val="00714C41"/>
    <w:rsid w:val="00716624"/>
    <w:rsid w:val="00733DC0"/>
    <w:rsid w:val="007365C3"/>
    <w:rsid w:val="00750F07"/>
    <w:rsid w:val="00753FC3"/>
    <w:rsid w:val="00761827"/>
    <w:rsid w:val="007642F2"/>
    <w:rsid w:val="00783F38"/>
    <w:rsid w:val="0078544B"/>
    <w:rsid w:val="0078798B"/>
    <w:rsid w:val="00791FA5"/>
    <w:rsid w:val="007A77B0"/>
    <w:rsid w:val="007C6852"/>
    <w:rsid w:val="007C7737"/>
    <w:rsid w:val="007D2443"/>
    <w:rsid w:val="007E0AF4"/>
    <w:rsid w:val="007E6DF1"/>
    <w:rsid w:val="007F0067"/>
    <w:rsid w:val="007F3D15"/>
    <w:rsid w:val="0082268C"/>
    <w:rsid w:val="00826390"/>
    <w:rsid w:val="00845A5D"/>
    <w:rsid w:val="00846717"/>
    <w:rsid w:val="008618F6"/>
    <w:rsid w:val="008664AC"/>
    <w:rsid w:val="008801B1"/>
    <w:rsid w:val="00884099"/>
    <w:rsid w:val="00891637"/>
    <w:rsid w:val="00891882"/>
    <w:rsid w:val="0089768C"/>
    <w:rsid w:val="008A3486"/>
    <w:rsid w:val="008B7860"/>
    <w:rsid w:val="008C10DF"/>
    <w:rsid w:val="008C46AB"/>
    <w:rsid w:val="008C526A"/>
    <w:rsid w:val="008E1D1E"/>
    <w:rsid w:val="00905F63"/>
    <w:rsid w:val="00906A28"/>
    <w:rsid w:val="00911F79"/>
    <w:rsid w:val="00913EA5"/>
    <w:rsid w:val="009322BE"/>
    <w:rsid w:val="00936137"/>
    <w:rsid w:val="00937671"/>
    <w:rsid w:val="0096530B"/>
    <w:rsid w:val="009A1DE1"/>
    <w:rsid w:val="009B093D"/>
    <w:rsid w:val="009B78A6"/>
    <w:rsid w:val="009C3F94"/>
    <w:rsid w:val="009C5B8B"/>
    <w:rsid w:val="009C75AE"/>
    <w:rsid w:val="009F08B6"/>
    <w:rsid w:val="00A06ABA"/>
    <w:rsid w:val="00A16AD6"/>
    <w:rsid w:val="00A36DE6"/>
    <w:rsid w:val="00A51466"/>
    <w:rsid w:val="00A65C34"/>
    <w:rsid w:val="00A666EA"/>
    <w:rsid w:val="00A8426D"/>
    <w:rsid w:val="00A87CDD"/>
    <w:rsid w:val="00A9137E"/>
    <w:rsid w:val="00A9711B"/>
    <w:rsid w:val="00AA195E"/>
    <w:rsid w:val="00AA2ABC"/>
    <w:rsid w:val="00AA604A"/>
    <w:rsid w:val="00AA7A76"/>
    <w:rsid w:val="00AB7F8C"/>
    <w:rsid w:val="00AD5AAC"/>
    <w:rsid w:val="00AF1416"/>
    <w:rsid w:val="00B03DA7"/>
    <w:rsid w:val="00B2592D"/>
    <w:rsid w:val="00B314F3"/>
    <w:rsid w:val="00B51A8D"/>
    <w:rsid w:val="00B54019"/>
    <w:rsid w:val="00B6739B"/>
    <w:rsid w:val="00BC5E6A"/>
    <w:rsid w:val="00BE14D7"/>
    <w:rsid w:val="00BE2EA1"/>
    <w:rsid w:val="00BE6FE7"/>
    <w:rsid w:val="00BF1BF6"/>
    <w:rsid w:val="00BF6505"/>
    <w:rsid w:val="00C0124A"/>
    <w:rsid w:val="00C11186"/>
    <w:rsid w:val="00C23990"/>
    <w:rsid w:val="00C46DC0"/>
    <w:rsid w:val="00C500D8"/>
    <w:rsid w:val="00C57B71"/>
    <w:rsid w:val="00C647E1"/>
    <w:rsid w:val="00C64B6F"/>
    <w:rsid w:val="00C64E23"/>
    <w:rsid w:val="00C962AC"/>
    <w:rsid w:val="00CA5206"/>
    <w:rsid w:val="00CC0AD1"/>
    <w:rsid w:val="00CD4248"/>
    <w:rsid w:val="00CD5647"/>
    <w:rsid w:val="00CF4175"/>
    <w:rsid w:val="00D0797E"/>
    <w:rsid w:val="00D20189"/>
    <w:rsid w:val="00D32174"/>
    <w:rsid w:val="00D37A1C"/>
    <w:rsid w:val="00D50FB4"/>
    <w:rsid w:val="00D56F95"/>
    <w:rsid w:val="00D67FCA"/>
    <w:rsid w:val="00D76024"/>
    <w:rsid w:val="00D8567C"/>
    <w:rsid w:val="00D92D1A"/>
    <w:rsid w:val="00D95000"/>
    <w:rsid w:val="00DB79C1"/>
    <w:rsid w:val="00DC65CC"/>
    <w:rsid w:val="00DD0216"/>
    <w:rsid w:val="00DD639F"/>
    <w:rsid w:val="00DE32F8"/>
    <w:rsid w:val="00DE7A77"/>
    <w:rsid w:val="00E050B3"/>
    <w:rsid w:val="00E11A0F"/>
    <w:rsid w:val="00E17DC1"/>
    <w:rsid w:val="00E2442D"/>
    <w:rsid w:val="00E355DD"/>
    <w:rsid w:val="00E61B62"/>
    <w:rsid w:val="00E63F8D"/>
    <w:rsid w:val="00E6662E"/>
    <w:rsid w:val="00E7179A"/>
    <w:rsid w:val="00E71B80"/>
    <w:rsid w:val="00E83E53"/>
    <w:rsid w:val="00E91DBF"/>
    <w:rsid w:val="00EB555F"/>
    <w:rsid w:val="00EC2DC8"/>
    <w:rsid w:val="00ED5D42"/>
    <w:rsid w:val="00ED760C"/>
    <w:rsid w:val="00EE381F"/>
    <w:rsid w:val="00F075E1"/>
    <w:rsid w:val="00F60480"/>
    <w:rsid w:val="00F742BE"/>
    <w:rsid w:val="00F7694D"/>
    <w:rsid w:val="00F76F8F"/>
    <w:rsid w:val="00F843BE"/>
    <w:rsid w:val="00FE6DCA"/>
    <w:rsid w:val="00FF16B9"/>
    <w:rsid w:val="00FF49C4"/>
    <w:rsid w:val="1B097B6F"/>
    <w:rsid w:val="1C7F136D"/>
    <w:rsid w:val="1CACE2EC"/>
    <w:rsid w:val="1D1FDC53"/>
    <w:rsid w:val="1D2ABBE0"/>
    <w:rsid w:val="1F0D06E4"/>
    <w:rsid w:val="202B26BD"/>
    <w:rsid w:val="2167BCC8"/>
    <w:rsid w:val="21A12FA2"/>
    <w:rsid w:val="29D38411"/>
    <w:rsid w:val="2A9EF3AF"/>
    <w:rsid w:val="32505796"/>
    <w:rsid w:val="325C0A3D"/>
    <w:rsid w:val="32E9E977"/>
    <w:rsid w:val="36D1DCE0"/>
    <w:rsid w:val="3EB3F4AA"/>
    <w:rsid w:val="3EB42A4D"/>
    <w:rsid w:val="3F1ADFB4"/>
    <w:rsid w:val="400408BE"/>
    <w:rsid w:val="40E6458D"/>
    <w:rsid w:val="435294D3"/>
    <w:rsid w:val="4D648014"/>
    <w:rsid w:val="4E650F7A"/>
    <w:rsid w:val="59A0AA9C"/>
    <w:rsid w:val="5B43EF4B"/>
    <w:rsid w:val="5DC47DC7"/>
    <w:rsid w:val="64C15D86"/>
    <w:rsid w:val="6833DEBD"/>
    <w:rsid w:val="6E809F53"/>
    <w:rsid w:val="6EA3043A"/>
    <w:rsid w:val="79421D54"/>
    <w:rsid w:val="79B702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12150D"/>
  <w15:chartTrackingRefBased/>
  <w15:docId w15:val="{DC55E4E3-C23E-41E9-8BFB-AA2B449D8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 w:type="character" w:styleId="CommentReference">
    <w:name w:val="annotation reference"/>
    <w:basedOn w:val="DefaultParagraphFont"/>
    <w:uiPriority w:val="99"/>
    <w:semiHidden/>
    <w:unhideWhenUsed/>
    <w:rsid w:val="00E2442D"/>
    <w:rPr>
      <w:sz w:val="16"/>
      <w:szCs w:val="16"/>
    </w:rPr>
  </w:style>
  <w:style w:type="paragraph" w:styleId="CommentText">
    <w:name w:val="annotation text"/>
    <w:basedOn w:val="Normal"/>
    <w:link w:val="CommentTextChar"/>
    <w:uiPriority w:val="99"/>
    <w:semiHidden/>
    <w:unhideWhenUsed/>
    <w:rsid w:val="00E2442D"/>
    <w:pPr>
      <w:spacing w:line="240" w:lineRule="auto"/>
    </w:pPr>
    <w:rPr>
      <w:sz w:val="20"/>
      <w:szCs w:val="20"/>
    </w:rPr>
  </w:style>
  <w:style w:type="character" w:customStyle="1" w:styleId="CommentTextChar">
    <w:name w:val="Comment Text Char"/>
    <w:basedOn w:val="DefaultParagraphFont"/>
    <w:link w:val="CommentText"/>
    <w:uiPriority w:val="99"/>
    <w:semiHidden/>
    <w:rsid w:val="00E2442D"/>
    <w:rPr>
      <w:sz w:val="20"/>
      <w:szCs w:val="20"/>
    </w:rPr>
  </w:style>
  <w:style w:type="paragraph" w:styleId="CommentSubject">
    <w:name w:val="annotation subject"/>
    <w:basedOn w:val="CommentText"/>
    <w:next w:val="CommentText"/>
    <w:link w:val="CommentSubjectChar"/>
    <w:uiPriority w:val="99"/>
    <w:semiHidden/>
    <w:unhideWhenUsed/>
    <w:rsid w:val="00E2442D"/>
    <w:rPr>
      <w:b/>
      <w:bCs/>
    </w:rPr>
  </w:style>
  <w:style w:type="character" w:customStyle="1" w:styleId="CommentSubjectChar">
    <w:name w:val="Comment Subject Char"/>
    <w:basedOn w:val="CommentTextChar"/>
    <w:link w:val="CommentSubject"/>
    <w:uiPriority w:val="99"/>
    <w:semiHidden/>
    <w:rsid w:val="00E2442D"/>
    <w:rPr>
      <w:b/>
      <w:bCs/>
      <w:sz w:val="20"/>
      <w:szCs w:val="20"/>
    </w:rPr>
  </w:style>
  <w:style w:type="paragraph" w:styleId="ListParagraph">
    <w:name w:val="List Paragraph"/>
    <w:basedOn w:val="Normal"/>
    <w:uiPriority w:val="34"/>
    <w:qFormat/>
    <w:rsid w:val="002E4046"/>
    <w:pPr>
      <w:ind w:left="720"/>
      <w:contextualSpacing/>
    </w:pPr>
  </w:style>
  <w:style w:type="character" w:styleId="UnresolvedMention">
    <w:name w:val="Unresolved Mention"/>
    <w:basedOn w:val="DefaultParagraphFont"/>
    <w:uiPriority w:val="99"/>
    <w:unhideWhenUsed/>
    <w:rsid w:val="009B093D"/>
    <w:rPr>
      <w:color w:val="605E5C"/>
      <w:shd w:val="clear" w:color="auto" w:fill="E1DFDD"/>
    </w:rPr>
  </w:style>
  <w:style w:type="character" w:styleId="Mention">
    <w:name w:val="Mention"/>
    <w:basedOn w:val="DefaultParagraphFont"/>
    <w:uiPriority w:val="99"/>
    <w:unhideWhenUsed/>
    <w:rsid w:val="009B093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124288">
      <w:bodyDiv w:val="1"/>
      <w:marLeft w:val="0"/>
      <w:marRight w:val="0"/>
      <w:marTop w:val="0"/>
      <w:marBottom w:val="0"/>
      <w:divBdr>
        <w:top w:val="none" w:sz="0" w:space="0" w:color="auto"/>
        <w:left w:val="none" w:sz="0" w:space="0" w:color="auto"/>
        <w:bottom w:val="none" w:sz="0" w:space="0" w:color="auto"/>
        <w:right w:val="none" w:sz="0" w:space="0" w:color="auto"/>
      </w:divBdr>
    </w:div>
    <w:div w:id="246497863">
      <w:bodyDiv w:val="1"/>
      <w:marLeft w:val="0"/>
      <w:marRight w:val="0"/>
      <w:marTop w:val="0"/>
      <w:marBottom w:val="0"/>
      <w:divBdr>
        <w:top w:val="none" w:sz="0" w:space="0" w:color="auto"/>
        <w:left w:val="none" w:sz="0" w:space="0" w:color="auto"/>
        <w:bottom w:val="none" w:sz="0" w:space="0" w:color="auto"/>
        <w:right w:val="none" w:sz="0" w:space="0" w:color="auto"/>
      </w:divBdr>
    </w:div>
    <w:div w:id="319700734">
      <w:bodyDiv w:val="1"/>
      <w:marLeft w:val="0"/>
      <w:marRight w:val="0"/>
      <w:marTop w:val="0"/>
      <w:marBottom w:val="0"/>
      <w:divBdr>
        <w:top w:val="none" w:sz="0" w:space="0" w:color="auto"/>
        <w:left w:val="none" w:sz="0" w:space="0" w:color="auto"/>
        <w:bottom w:val="none" w:sz="0" w:space="0" w:color="auto"/>
        <w:right w:val="none" w:sz="0" w:space="0" w:color="auto"/>
      </w:divBdr>
    </w:div>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300917820">
      <w:bodyDiv w:val="1"/>
      <w:marLeft w:val="0"/>
      <w:marRight w:val="0"/>
      <w:marTop w:val="0"/>
      <w:marBottom w:val="0"/>
      <w:divBdr>
        <w:top w:val="none" w:sz="0" w:space="0" w:color="auto"/>
        <w:left w:val="none" w:sz="0" w:space="0" w:color="auto"/>
        <w:bottom w:val="none" w:sz="0" w:space="0" w:color="auto"/>
        <w:right w:val="none" w:sz="0" w:space="0" w:color="auto"/>
      </w:divBdr>
    </w:div>
    <w:div w:id="1567302005">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 w:id="1690135711">
      <w:bodyDiv w:val="1"/>
      <w:marLeft w:val="0"/>
      <w:marRight w:val="0"/>
      <w:marTop w:val="0"/>
      <w:marBottom w:val="0"/>
      <w:divBdr>
        <w:top w:val="none" w:sz="0" w:space="0" w:color="auto"/>
        <w:left w:val="none" w:sz="0" w:space="0" w:color="auto"/>
        <w:bottom w:val="none" w:sz="0" w:space="0" w:color="auto"/>
        <w:right w:val="none" w:sz="0" w:space="0" w:color="auto"/>
      </w:divBdr>
    </w:div>
    <w:div w:id="209265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5" ma:contentTypeDescription="Create a new document." ma:contentTypeScope="" ma:versionID="88a140e6bbff82fdd176fe1a6b25cfac">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1516c1412361b174a3326a4ccdaac25c"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1E9AC-4070-437B-8894-D568281FD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42D940-2F75-4FBA-B489-21E3F9ADA4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BDB091-49A2-4D4A-AED8-A7BC7626D9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694</Words>
  <Characters>3958</Characters>
  <Application>Microsoft Office Word</Application>
  <DocSecurity>0</DocSecurity>
  <Lines>32</Lines>
  <Paragraphs>9</Paragraphs>
  <ScaleCrop>false</ScaleCrop>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Antonio Ocegueda</cp:lastModifiedBy>
  <cp:revision>2</cp:revision>
  <cp:lastPrinted>2019-05-29T22:21:00Z</cp:lastPrinted>
  <dcterms:created xsi:type="dcterms:W3CDTF">2021-05-28T19:33:00Z</dcterms:created>
  <dcterms:modified xsi:type="dcterms:W3CDTF">2021-05-28T19:33:00Z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